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2" w:type="dxa"/>
        <w:tblInd w:w="-34" w:type="dxa"/>
        <w:tblLayout w:type="fixed"/>
        <w:tblLook w:val="04A0" w:firstRow="1" w:lastRow="0" w:firstColumn="1" w:lastColumn="0" w:noHBand="0" w:noVBand="1"/>
      </w:tblPr>
      <w:tblGrid>
        <w:gridCol w:w="1985"/>
        <w:gridCol w:w="5204"/>
        <w:gridCol w:w="236"/>
        <w:gridCol w:w="2617"/>
      </w:tblGrid>
      <w:tr w:rsidR="00E37E4C" w:rsidRPr="005E42CC" w:rsidTr="00933DEA">
        <w:trPr>
          <w:trHeight w:val="350"/>
        </w:trPr>
        <w:tc>
          <w:tcPr>
            <w:tcW w:w="1985" w:type="dxa"/>
            <w:vMerge w:val="restart"/>
            <w:vAlign w:val="center"/>
          </w:tcPr>
          <w:p w:rsidR="00E37E4C" w:rsidRPr="005E42CC" w:rsidRDefault="00E37E4C" w:rsidP="00933DEA">
            <w:pPr>
              <w:pStyle w:val="Header"/>
              <w:tabs>
                <w:tab w:val="clear" w:pos="4153"/>
                <w:tab w:val="clear" w:pos="8306"/>
              </w:tabs>
              <w:rPr>
                <w:rFonts w:ascii="Calibri" w:hAnsi="Calibri"/>
                <w:b/>
                <w:bCs/>
                <w:sz w:val="22"/>
              </w:rPr>
            </w:pPr>
            <w:r w:rsidRPr="005E42CC">
              <w:rPr>
                <w:noProof/>
                <w:lang w:eastAsia="en-US"/>
              </w:rPr>
              <w:drawing>
                <wp:inline distT="0" distB="0" distL="0" distR="0" wp14:anchorId="4559196D" wp14:editId="06313142">
                  <wp:extent cx="1140737" cy="569853"/>
                  <wp:effectExtent l="0" t="0" r="2540" b="1905"/>
                  <wp:docPr id="1" name="Picture 1" descr="C:\Users\User.U-PC\Desktop\Eaco.png"/>
                  <wp:cNvGraphicFramePr/>
                  <a:graphic xmlns:a="http://schemas.openxmlformats.org/drawingml/2006/main">
                    <a:graphicData uri="http://schemas.openxmlformats.org/drawingml/2006/picture">
                      <pic:pic xmlns:pic="http://schemas.openxmlformats.org/drawingml/2006/picture">
                        <pic:nvPicPr>
                          <pic:cNvPr id="1" name="Picture 1" descr="C:\Users\User.U-PC\Desktop\Eaco.png"/>
                          <pic:cNvPicPr/>
                        </pic:nvPicPr>
                        <pic:blipFill rotWithShape="1">
                          <a:blip r:embed="rId7" cstate="print">
                            <a:extLst>
                              <a:ext uri="{28A0092B-C50C-407E-A947-70E740481C1C}">
                                <a14:useLocalDpi xmlns:a14="http://schemas.microsoft.com/office/drawing/2010/main" val="0"/>
                              </a:ext>
                            </a:extLst>
                          </a:blip>
                          <a:srcRect l="-1" r="58593" b="-928"/>
                          <a:stretch/>
                        </pic:blipFill>
                        <pic:spPr bwMode="auto">
                          <a:xfrm>
                            <a:off x="0" y="0"/>
                            <a:ext cx="1153753" cy="57635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5E42CC">
              <w:rPr>
                <w:noProof/>
                <w:lang w:eastAsia="en-US"/>
              </w:rPr>
              <mc:AlternateContent>
                <mc:Choice Requires="wps">
                  <w:drawing>
                    <wp:anchor distT="0" distB="0" distL="114300" distR="114300" simplePos="0" relativeHeight="251659264" behindDoc="0" locked="0" layoutInCell="1" allowOverlap="1" wp14:anchorId="283B6F78" wp14:editId="0B3014CE">
                      <wp:simplePos x="0" y="0"/>
                      <wp:positionH relativeFrom="column">
                        <wp:posOffset>-12065</wp:posOffset>
                      </wp:positionH>
                      <wp:positionV relativeFrom="paragraph">
                        <wp:posOffset>1372235</wp:posOffset>
                      </wp:positionV>
                      <wp:extent cx="6200775" cy="0"/>
                      <wp:effectExtent l="10160" t="6350" r="889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cap="rnd">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EC0B4" id="_x0000_t32" coordsize="21600,21600" o:spt="32" o:oned="t" path="m,l21600,21600e" filled="f">
                      <v:path arrowok="t" fillok="f" o:connecttype="none"/>
                      <o:lock v:ext="edit" shapetype="t"/>
                    </v:shapetype>
                    <v:shape id="AutoShape 2" o:spid="_x0000_s1026" type="#_x0000_t32" style="position:absolute;margin-left:-.95pt;margin-top:108.05pt;width:4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">
                      <v:stroke dashstyle="1 1" endcap="round"/>
                    </v:shape>
                  </w:pict>
                </mc:Fallback>
              </mc:AlternateContent>
            </w:r>
          </w:p>
        </w:tc>
        <w:tc>
          <w:tcPr>
            <w:tcW w:w="5204" w:type="dxa"/>
            <w:vMerge w:val="restart"/>
            <w:vAlign w:val="center"/>
          </w:tcPr>
          <w:p w:rsidR="00E37E4C" w:rsidRPr="005E42CC" w:rsidRDefault="00E37E4C" w:rsidP="00933DEA">
            <w:pPr>
              <w:pStyle w:val="Heading1"/>
              <w:keepLines w:val="0"/>
              <w:spacing w:before="0"/>
              <w:jc w:val="center"/>
              <w:rPr>
                <w:rFonts w:ascii="Calibri" w:eastAsia="MS Mincho" w:hAnsi="Calibri"/>
                <w:bCs w:val="0"/>
                <w:color w:val="auto"/>
                <w:sz w:val="48"/>
                <w:szCs w:val="48"/>
                <w:lang w:eastAsia="en-GB"/>
              </w:rPr>
            </w:pPr>
            <w:r w:rsidRPr="005E42CC">
              <w:rPr>
                <w:rFonts w:ascii="Calibri" w:eastAsia="MS Mincho" w:hAnsi="Calibri"/>
                <w:bCs w:val="0"/>
                <w:color w:val="auto"/>
                <w:lang w:eastAsia="en-GB"/>
              </w:rPr>
              <w:t xml:space="preserve">Input Contribution to EACO </w:t>
            </w:r>
          </w:p>
          <w:p w:rsidR="00E37E4C" w:rsidRPr="005E42CC" w:rsidRDefault="00E37E4C" w:rsidP="00933DEA">
            <w:pPr>
              <w:jc w:val="center"/>
              <w:rPr>
                <w:lang w:eastAsia="en-GB"/>
              </w:rPr>
            </w:pPr>
            <w:r w:rsidRPr="005E42CC">
              <w:rPr>
                <w:lang w:eastAsia="en-GB"/>
              </w:rPr>
              <w:t>Online meeting 17-18 August 2021</w:t>
            </w:r>
          </w:p>
        </w:tc>
        <w:tc>
          <w:tcPr>
            <w:tcW w:w="236" w:type="dxa"/>
            <w:vAlign w:val="center"/>
          </w:tcPr>
          <w:p w:rsidR="00E37E4C" w:rsidRPr="005E42CC" w:rsidRDefault="00E37E4C" w:rsidP="00933DEA">
            <w:pPr>
              <w:jc w:val="right"/>
              <w:rPr>
                <w:sz w:val="16"/>
                <w:szCs w:val="16"/>
              </w:rPr>
            </w:pPr>
          </w:p>
        </w:tc>
        <w:tc>
          <w:tcPr>
            <w:tcW w:w="2617" w:type="dxa"/>
            <w:vAlign w:val="center"/>
          </w:tcPr>
          <w:p w:rsidR="00E37E4C" w:rsidRPr="005E42CC" w:rsidRDefault="00E37E4C" w:rsidP="00933DEA">
            <w:pPr>
              <w:rPr>
                <w:sz w:val="16"/>
                <w:szCs w:val="16"/>
              </w:rPr>
            </w:pPr>
          </w:p>
        </w:tc>
      </w:tr>
      <w:tr w:rsidR="00E37E4C" w:rsidRPr="005E42CC" w:rsidTr="00933DEA">
        <w:trPr>
          <w:trHeight w:val="323"/>
        </w:trPr>
        <w:tc>
          <w:tcPr>
            <w:tcW w:w="1985" w:type="dxa"/>
            <w:vMerge/>
            <w:vAlign w:val="center"/>
          </w:tcPr>
          <w:p w:rsidR="00E37E4C" w:rsidRPr="005E42CC" w:rsidRDefault="00E37E4C" w:rsidP="00933DEA">
            <w:pPr>
              <w:pStyle w:val="Header"/>
              <w:tabs>
                <w:tab w:val="clear" w:pos="4153"/>
                <w:tab w:val="clear" w:pos="8306"/>
              </w:tabs>
              <w:jc w:val="center"/>
              <w:rPr>
                <w:rFonts w:ascii="Calibri" w:hAnsi="Calibri"/>
                <w:b/>
                <w:noProof/>
                <w:sz w:val="28"/>
                <w:szCs w:val="28"/>
              </w:rPr>
            </w:pPr>
          </w:p>
        </w:tc>
        <w:tc>
          <w:tcPr>
            <w:tcW w:w="5204" w:type="dxa"/>
            <w:vMerge/>
            <w:vAlign w:val="center"/>
          </w:tcPr>
          <w:p w:rsidR="00E37E4C" w:rsidRPr="005E42CC" w:rsidRDefault="00E37E4C" w:rsidP="00933DEA">
            <w:pPr>
              <w:pStyle w:val="Header"/>
              <w:tabs>
                <w:tab w:val="clear" w:pos="4153"/>
                <w:tab w:val="clear" w:pos="8306"/>
              </w:tabs>
              <w:jc w:val="center"/>
              <w:rPr>
                <w:rFonts w:ascii="Calibri" w:hAnsi="Calibri"/>
                <w:b/>
                <w:noProof/>
                <w:sz w:val="28"/>
                <w:szCs w:val="28"/>
              </w:rPr>
            </w:pPr>
          </w:p>
        </w:tc>
        <w:tc>
          <w:tcPr>
            <w:tcW w:w="236" w:type="dxa"/>
            <w:vAlign w:val="center"/>
          </w:tcPr>
          <w:p w:rsidR="00E37E4C" w:rsidRPr="005E42CC" w:rsidRDefault="00E37E4C" w:rsidP="00933DEA">
            <w:pPr>
              <w:jc w:val="right"/>
              <w:rPr>
                <w:sz w:val="16"/>
                <w:szCs w:val="16"/>
              </w:rPr>
            </w:pPr>
          </w:p>
        </w:tc>
        <w:tc>
          <w:tcPr>
            <w:tcW w:w="2617" w:type="dxa"/>
            <w:vAlign w:val="center"/>
          </w:tcPr>
          <w:p w:rsidR="00E37E4C" w:rsidRPr="005E42CC" w:rsidRDefault="00E37E4C" w:rsidP="00933DEA">
            <w:pPr>
              <w:rPr>
                <w:b/>
                <w:lang w:val="pt-PT"/>
              </w:rPr>
            </w:pPr>
            <w:r w:rsidRPr="005E42CC">
              <w:rPr>
                <w:b/>
                <w:lang w:val="pt-PT"/>
              </w:rPr>
              <w:t xml:space="preserve">Input Contribution </w:t>
            </w:r>
            <w:r w:rsidRPr="005E42CC">
              <w:rPr>
                <w:b/>
                <w:highlight w:val="yellow"/>
                <w:lang w:val="pt-PT"/>
              </w:rPr>
              <w:t>XX</w:t>
            </w:r>
          </w:p>
        </w:tc>
      </w:tr>
      <w:tr w:rsidR="00E37E4C" w:rsidRPr="005E42CC" w:rsidTr="00933DEA">
        <w:trPr>
          <w:trHeight w:val="377"/>
        </w:trPr>
        <w:tc>
          <w:tcPr>
            <w:tcW w:w="1985" w:type="dxa"/>
            <w:vMerge/>
            <w:vAlign w:val="center"/>
          </w:tcPr>
          <w:p w:rsidR="00E37E4C" w:rsidRPr="005E42CC" w:rsidRDefault="00E37E4C" w:rsidP="00933DEA">
            <w:pPr>
              <w:pStyle w:val="Header"/>
              <w:tabs>
                <w:tab w:val="clear" w:pos="4153"/>
                <w:tab w:val="clear" w:pos="8306"/>
              </w:tabs>
              <w:jc w:val="center"/>
              <w:rPr>
                <w:rFonts w:ascii="Calibri" w:hAnsi="Calibri"/>
                <w:b/>
                <w:noProof/>
                <w:sz w:val="28"/>
                <w:szCs w:val="28"/>
              </w:rPr>
            </w:pPr>
          </w:p>
        </w:tc>
        <w:tc>
          <w:tcPr>
            <w:tcW w:w="5204" w:type="dxa"/>
            <w:vMerge/>
            <w:vAlign w:val="center"/>
          </w:tcPr>
          <w:p w:rsidR="00E37E4C" w:rsidRPr="005E42CC" w:rsidRDefault="00E37E4C" w:rsidP="00933DEA">
            <w:pPr>
              <w:pStyle w:val="Header"/>
              <w:tabs>
                <w:tab w:val="clear" w:pos="4153"/>
                <w:tab w:val="clear" w:pos="8306"/>
              </w:tabs>
              <w:jc w:val="center"/>
              <w:rPr>
                <w:rFonts w:ascii="Calibri" w:hAnsi="Calibri"/>
                <w:b/>
                <w:noProof/>
                <w:sz w:val="28"/>
                <w:szCs w:val="28"/>
              </w:rPr>
            </w:pPr>
          </w:p>
        </w:tc>
        <w:tc>
          <w:tcPr>
            <w:tcW w:w="236" w:type="dxa"/>
            <w:vAlign w:val="center"/>
          </w:tcPr>
          <w:p w:rsidR="00E37E4C" w:rsidRPr="005E42CC" w:rsidRDefault="00E37E4C" w:rsidP="00933DEA">
            <w:pPr>
              <w:jc w:val="right"/>
              <w:rPr>
                <w:sz w:val="16"/>
                <w:szCs w:val="16"/>
              </w:rPr>
            </w:pPr>
          </w:p>
        </w:tc>
        <w:tc>
          <w:tcPr>
            <w:tcW w:w="2617" w:type="dxa"/>
            <w:vAlign w:val="center"/>
          </w:tcPr>
          <w:p w:rsidR="00E37E4C" w:rsidRPr="005E42CC" w:rsidRDefault="00E37E4C" w:rsidP="00933DEA">
            <w:pPr>
              <w:rPr>
                <w:b/>
                <w:lang w:val="pt-PT"/>
              </w:rPr>
            </w:pPr>
            <w:r>
              <w:rPr>
                <w:b/>
                <w:lang w:val="pt-PT"/>
              </w:rPr>
              <w:t>10</w:t>
            </w:r>
            <w:r w:rsidRPr="005E42CC">
              <w:rPr>
                <w:b/>
                <w:lang w:val="pt-PT"/>
              </w:rPr>
              <w:t>-August-2021</w:t>
            </w:r>
          </w:p>
        </w:tc>
      </w:tr>
      <w:tr w:rsidR="00E37E4C" w:rsidRPr="005E42CC" w:rsidTr="00933DEA">
        <w:trPr>
          <w:trHeight w:val="350"/>
        </w:trPr>
        <w:tc>
          <w:tcPr>
            <w:tcW w:w="1985" w:type="dxa"/>
            <w:vMerge/>
            <w:vAlign w:val="center"/>
          </w:tcPr>
          <w:p w:rsidR="00E37E4C" w:rsidRPr="005E42CC" w:rsidRDefault="00E37E4C" w:rsidP="00933DEA">
            <w:pPr>
              <w:pStyle w:val="Header"/>
              <w:tabs>
                <w:tab w:val="clear" w:pos="4153"/>
                <w:tab w:val="clear" w:pos="8306"/>
              </w:tabs>
              <w:jc w:val="center"/>
              <w:rPr>
                <w:rFonts w:ascii="Calibri" w:hAnsi="Calibri"/>
                <w:b/>
                <w:noProof/>
                <w:sz w:val="28"/>
                <w:szCs w:val="28"/>
              </w:rPr>
            </w:pPr>
          </w:p>
        </w:tc>
        <w:tc>
          <w:tcPr>
            <w:tcW w:w="5204" w:type="dxa"/>
            <w:vMerge/>
            <w:vAlign w:val="center"/>
          </w:tcPr>
          <w:p w:rsidR="00E37E4C" w:rsidRPr="005E42CC" w:rsidRDefault="00E37E4C" w:rsidP="00933DEA">
            <w:pPr>
              <w:pStyle w:val="Header"/>
              <w:tabs>
                <w:tab w:val="clear" w:pos="4153"/>
                <w:tab w:val="clear" w:pos="8306"/>
              </w:tabs>
              <w:jc w:val="center"/>
              <w:rPr>
                <w:rFonts w:ascii="Calibri" w:hAnsi="Calibri"/>
                <w:b/>
                <w:noProof/>
                <w:sz w:val="28"/>
                <w:szCs w:val="28"/>
              </w:rPr>
            </w:pPr>
          </w:p>
        </w:tc>
        <w:tc>
          <w:tcPr>
            <w:tcW w:w="236" w:type="dxa"/>
            <w:vAlign w:val="center"/>
          </w:tcPr>
          <w:p w:rsidR="00E37E4C" w:rsidRPr="005E42CC" w:rsidRDefault="00E37E4C" w:rsidP="00933DEA">
            <w:pPr>
              <w:jc w:val="right"/>
              <w:rPr>
                <w:sz w:val="16"/>
                <w:szCs w:val="16"/>
              </w:rPr>
            </w:pPr>
          </w:p>
        </w:tc>
        <w:tc>
          <w:tcPr>
            <w:tcW w:w="2617" w:type="dxa"/>
            <w:vAlign w:val="center"/>
          </w:tcPr>
          <w:p w:rsidR="00E37E4C" w:rsidRPr="005E42CC" w:rsidRDefault="00E37E4C" w:rsidP="00933DEA">
            <w:pPr>
              <w:rPr>
                <w:b/>
                <w:lang w:val="pt-PT"/>
              </w:rPr>
            </w:pPr>
          </w:p>
        </w:tc>
      </w:tr>
      <w:tr w:rsidR="00E37E4C" w:rsidRPr="005E42CC" w:rsidTr="00933DEA">
        <w:trPr>
          <w:trHeight w:val="305"/>
        </w:trPr>
        <w:tc>
          <w:tcPr>
            <w:tcW w:w="1985" w:type="dxa"/>
            <w:vMerge/>
            <w:vAlign w:val="center"/>
          </w:tcPr>
          <w:p w:rsidR="00E37E4C" w:rsidRPr="005E42CC" w:rsidRDefault="00E37E4C" w:rsidP="00933DEA">
            <w:pPr>
              <w:pStyle w:val="Header"/>
              <w:tabs>
                <w:tab w:val="clear" w:pos="4153"/>
                <w:tab w:val="clear" w:pos="8306"/>
              </w:tabs>
              <w:jc w:val="center"/>
              <w:rPr>
                <w:rFonts w:ascii="Calibri" w:hAnsi="Calibri"/>
                <w:b/>
                <w:noProof/>
                <w:sz w:val="28"/>
                <w:szCs w:val="28"/>
              </w:rPr>
            </w:pPr>
          </w:p>
        </w:tc>
        <w:tc>
          <w:tcPr>
            <w:tcW w:w="5204" w:type="dxa"/>
            <w:vMerge/>
            <w:vAlign w:val="center"/>
          </w:tcPr>
          <w:p w:rsidR="00E37E4C" w:rsidRPr="005E42CC" w:rsidRDefault="00E37E4C" w:rsidP="00933DEA">
            <w:pPr>
              <w:pStyle w:val="Header"/>
              <w:tabs>
                <w:tab w:val="clear" w:pos="4153"/>
                <w:tab w:val="clear" w:pos="8306"/>
              </w:tabs>
              <w:jc w:val="center"/>
              <w:rPr>
                <w:rFonts w:ascii="Calibri" w:hAnsi="Calibri"/>
                <w:b/>
                <w:noProof/>
                <w:sz w:val="28"/>
                <w:szCs w:val="28"/>
              </w:rPr>
            </w:pPr>
          </w:p>
        </w:tc>
        <w:tc>
          <w:tcPr>
            <w:tcW w:w="236" w:type="dxa"/>
            <w:vAlign w:val="center"/>
          </w:tcPr>
          <w:p w:rsidR="00E37E4C" w:rsidRPr="005E42CC" w:rsidRDefault="00E37E4C" w:rsidP="00933DEA">
            <w:pPr>
              <w:jc w:val="right"/>
              <w:rPr>
                <w:sz w:val="16"/>
                <w:szCs w:val="16"/>
              </w:rPr>
            </w:pPr>
          </w:p>
        </w:tc>
        <w:tc>
          <w:tcPr>
            <w:tcW w:w="2617" w:type="dxa"/>
            <w:vAlign w:val="center"/>
          </w:tcPr>
          <w:p w:rsidR="00E37E4C" w:rsidRPr="005E42CC" w:rsidRDefault="00E37E4C" w:rsidP="00933DEA">
            <w:pPr>
              <w:rPr>
                <w:b/>
                <w:sz w:val="16"/>
                <w:szCs w:val="16"/>
                <w:lang w:val="pt-PT"/>
              </w:rPr>
            </w:pPr>
          </w:p>
        </w:tc>
      </w:tr>
      <w:tr w:rsidR="00E37E4C" w:rsidRPr="005E42CC" w:rsidTr="00933DEA">
        <w:tc>
          <w:tcPr>
            <w:tcW w:w="10042" w:type="dxa"/>
            <w:gridSpan w:val="4"/>
          </w:tcPr>
          <w:tbl>
            <w:tblPr>
              <w:tblW w:w="9781" w:type="dxa"/>
              <w:tblLayout w:type="fixed"/>
              <w:tblLook w:val="04A0" w:firstRow="1" w:lastRow="0" w:firstColumn="1" w:lastColumn="0" w:noHBand="0" w:noVBand="1"/>
            </w:tblPr>
            <w:tblGrid>
              <w:gridCol w:w="9781"/>
            </w:tblGrid>
            <w:tr w:rsidR="00E37E4C" w:rsidRPr="005E42CC" w:rsidTr="00933DEA">
              <w:tc>
                <w:tcPr>
                  <w:tcW w:w="9781" w:type="dxa"/>
                </w:tcPr>
                <w:p w:rsidR="00E37E4C" w:rsidRPr="005E42CC" w:rsidRDefault="00E37E4C" w:rsidP="00933DEA">
                  <w:pPr>
                    <w:jc w:val="center"/>
                    <w:rPr>
                      <w:rFonts w:cs="Tahoma"/>
                      <w:b/>
                      <w:sz w:val="28"/>
                      <w:szCs w:val="28"/>
                      <w:lang w:val="en-GB"/>
                    </w:rPr>
                  </w:pPr>
                  <w:r w:rsidRPr="005E42CC">
                    <w:rPr>
                      <w:noProof/>
                      <w:sz w:val="28"/>
                      <w:szCs w:val="28"/>
                    </w:rPr>
                    <mc:AlternateContent>
                      <mc:Choice Requires="wps">
                        <w:drawing>
                          <wp:anchor distT="0" distB="0" distL="114300" distR="114300" simplePos="0" relativeHeight="251660288" behindDoc="0" locked="0" layoutInCell="1" allowOverlap="1" wp14:anchorId="4E9ADDE1" wp14:editId="263EDFAD">
                            <wp:simplePos x="0" y="0"/>
                            <wp:positionH relativeFrom="column">
                              <wp:posOffset>-132715</wp:posOffset>
                            </wp:positionH>
                            <wp:positionV relativeFrom="paragraph">
                              <wp:posOffset>254000</wp:posOffset>
                            </wp:positionV>
                            <wp:extent cx="6200775" cy="0"/>
                            <wp:effectExtent l="5715" t="6350" r="1333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cap="rnd">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D08EE" id="AutoShape 3" o:spid="_x0000_s1026" type="#_x0000_t32" style="position:absolute;margin-left:-10.45pt;margin-top:20pt;width:4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">
                            <v:stroke dashstyle="1 1" endcap="round"/>
                          </v:shape>
                        </w:pict>
                      </mc:Fallback>
                    </mc:AlternateContent>
                  </w:r>
                  <w:bookmarkStart w:id="0" w:name="_GoBack"/>
                  <w:bookmarkEnd w:id="0"/>
                </w:p>
              </w:tc>
            </w:tr>
          </w:tbl>
          <w:p w:rsidR="00E37E4C" w:rsidRPr="005E42CC" w:rsidRDefault="00E37E4C" w:rsidP="00933DEA">
            <w:pPr>
              <w:jc w:val="center"/>
              <w:rPr>
                <w:rFonts w:cs="Tahoma"/>
                <w:b/>
              </w:rPr>
            </w:pPr>
          </w:p>
        </w:tc>
      </w:tr>
    </w:tbl>
    <w:p w:rsidR="00E37E4C" w:rsidRDefault="00E37E4C" w:rsidP="008728A8">
      <w:pPr>
        <w:spacing w:after="200" w:line="276" w:lineRule="auto"/>
        <w:jc w:val="center"/>
        <w:rPr>
          <w:rFonts w:ascii="Times New Roman" w:hAnsi="Times New Roman" w:cs="Times New Roman"/>
          <w:b/>
          <w:lang w:val="en-GB"/>
        </w:rPr>
      </w:pPr>
    </w:p>
    <w:p w:rsidR="00E37E4C" w:rsidRDefault="00E37E4C" w:rsidP="008728A8">
      <w:pPr>
        <w:spacing w:after="200" w:line="276" w:lineRule="auto"/>
        <w:jc w:val="center"/>
        <w:rPr>
          <w:rFonts w:ascii="Times New Roman" w:hAnsi="Times New Roman" w:cs="Times New Roman"/>
          <w:b/>
          <w:lang w:val="en-GB"/>
        </w:rPr>
      </w:pPr>
    </w:p>
    <w:p w:rsidR="008728A8" w:rsidRPr="004004A7" w:rsidRDefault="008728A8" w:rsidP="008728A8">
      <w:pPr>
        <w:spacing w:after="200" w:line="276" w:lineRule="auto"/>
        <w:jc w:val="center"/>
        <w:rPr>
          <w:rFonts w:ascii="Times New Roman" w:hAnsi="Times New Roman" w:cs="Times New Roman"/>
          <w:b/>
          <w:lang w:val="en-GB"/>
        </w:rPr>
      </w:pPr>
      <w:r w:rsidRPr="004004A7">
        <w:rPr>
          <w:rFonts w:ascii="Times New Roman" w:hAnsi="Times New Roman" w:cs="Times New Roman"/>
          <w:b/>
          <w:lang w:val="en-GB"/>
        </w:rPr>
        <w:t>Agenda Item 1.4 (HIBS)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28A8" w:rsidRPr="004004A7" w:rsidTr="00D050ED">
        <w:tc>
          <w:tcPr>
            <w:tcW w:w="9576" w:type="dxa"/>
          </w:tcPr>
          <w:p w:rsidR="008728A8" w:rsidRPr="004004A7" w:rsidRDefault="008728A8" w:rsidP="00D050ED">
            <w:pPr>
              <w:spacing w:after="0" w:line="240" w:lineRule="auto"/>
              <w:rPr>
                <w:rFonts w:ascii="Times New Roman" w:eastAsia="Times New Roman" w:hAnsi="Times New Roman" w:cs="Times New Roman"/>
                <w:b/>
                <w:i/>
                <w:color w:val="00B050"/>
                <w:spacing w:val="60"/>
              </w:rPr>
            </w:pPr>
            <w:r w:rsidRPr="004004A7">
              <w:rPr>
                <w:rFonts w:ascii="Times New Roman" w:eastAsia="Times New Roman" w:hAnsi="Times New Roman" w:cs="Times New Roman"/>
                <w:b/>
                <w:i/>
                <w:color w:val="00B050"/>
                <w:spacing w:val="60"/>
              </w:rPr>
              <w:t>Part A: Description</w:t>
            </w:r>
          </w:p>
        </w:tc>
      </w:tr>
      <w:tr w:rsidR="008728A8" w:rsidRPr="004004A7" w:rsidTr="00D050ED">
        <w:trPr>
          <w:trHeight w:val="647"/>
        </w:trPr>
        <w:tc>
          <w:tcPr>
            <w:tcW w:w="9576" w:type="dxa"/>
          </w:tcPr>
          <w:p w:rsidR="008728A8" w:rsidRPr="004004A7" w:rsidRDefault="008728A8" w:rsidP="008728A8">
            <w:pPr>
              <w:autoSpaceDE w:val="0"/>
              <w:autoSpaceDN w:val="0"/>
              <w:adjustRightInd w:val="0"/>
              <w:jc w:val="both"/>
              <w:rPr>
                <w:rFonts w:ascii="Times New Roman" w:hAnsi="Times New Roman" w:cs="Times New Roman"/>
              </w:rPr>
            </w:pPr>
            <w:r w:rsidRPr="004004A7">
              <w:rPr>
                <w:rFonts w:ascii="Times New Roman" w:hAnsi="Times New Roman" w:cs="Times New Roman"/>
              </w:rPr>
              <w:t xml:space="preserve">to consider, in accordance with Resolution </w:t>
            </w:r>
            <w:r w:rsidRPr="004004A7">
              <w:rPr>
                <w:rFonts w:ascii="Times New Roman" w:hAnsi="Times New Roman" w:cs="Times New Roman"/>
                <w:b/>
                <w:bCs/>
              </w:rPr>
              <w:t>247 (WRC-19)</w:t>
            </w:r>
            <w:r w:rsidRPr="004004A7">
              <w:rPr>
                <w:rFonts w:ascii="Times New Roman" w:hAnsi="Times New Roman" w:cs="Times New Roman"/>
              </w:rPr>
              <w:t>, the use of high-altitude platform</w:t>
            </w:r>
            <w:r w:rsidRPr="004004A7">
              <w:rPr>
                <w:rFonts w:ascii="Times New Roman" w:hAnsi="Times New Roman" w:cs="Times New Roman"/>
                <w:lang w:val="en-GB"/>
              </w:rPr>
              <w:t xml:space="preserve"> </w:t>
            </w:r>
            <w:r w:rsidRPr="004004A7">
              <w:rPr>
                <w:rFonts w:ascii="Times New Roman" w:hAnsi="Times New Roman" w:cs="Times New Roman"/>
              </w:rPr>
              <w:t>stations as IMT base stations (HIBS) in the mobile service in certain frequency bands below 2.7 GHz</w:t>
            </w:r>
            <w:r w:rsidRPr="004004A7">
              <w:rPr>
                <w:rFonts w:ascii="Times New Roman" w:hAnsi="Times New Roman" w:cs="Times New Roman"/>
                <w:lang w:val="en-GB"/>
              </w:rPr>
              <w:t xml:space="preserve"> </w:t>
            </w:r>
            <w:r w:rsidRPr="004004A7">
              <w:rPr>
                <w:rFonts w:ascii="Times New Roman" w:hAnsi="Times New Roman" w:cs="Times New Roman"/>
              </w:rPr>
              <w:t>already identified for IMT, on a global or regional level;</w:t>
            </w:r>
          </w:p>
          <w:p w:rsidR="008728A8" w:rsidRPr="004004A7" w:rsidRDefault="008728A8" w:rsidP="00D050ED">
            <w:pPr>
              <w:spacing w:after="0" w:line="240" w:lineRule="auto"/>
              <w:jc w:val="both"/>
              <w:rPr>
                <w:rFonts w:ascii="Times New Roman" w:eastAsia="Times New Roman" w:hAnsi="Times New Roman" w:cs="Times New Roman"/>
              </w:rPr>
            </w:pPr>
          </w:p>
        </w:tc>
      </w:tr>
      <w:tr w:rsidR="008728A8" w:rsidRPr="004004A7" w:rsidTr="00D050ED">
        <w:tc>
          <w:tcPr>
            <w:tcW w:w="9576" w:type="dxa"/>
          </w:tcPr>
          <w:p w:rsidR="008728A8" w:rsidRPr="004004A7" w:rsidRDefault="008728A8" w:rsidP="00D050ED">
            <w:pPr>
              <w:spacing w:after="0" w:line="240" w:lineRule="auto"/>
              <w:rPr>
                <w:rFonts w:ascii="Times New Roman" w:eastAsia="Times New Roman" w:hAnsi="Times New Roman" w:cs="Times New Roman"/>
                <w:b/>
                <w:i/>
                <w:color w:val="00B050"/>
                <w:spacing w:val="60"/>
              </w:rPr>
            </w:pPr>
            <w:r w:rsidRPr="004004A7">
              <w:rPr>
                <w:rFonts w:ascii="Times New Roman" w:eastAsia="Times New Roman" w:hAnsi="Times New Roman" w:cs="Times New Roman"/>
                <w:b/>
                <w:i/>
                <w:color w:val="00B050"/>
                <w:spacing w:val="60"/>
              </w:rPr>
              <w:t>Part B: Key Elements – the notables</w:t>
            </w:r>
          </w:p>
        </w:tc>
      </w:tr>
      <w:tr w:rsidR="008728A8" w:rsidRPr="004004A7" w:rsidTr="00D050ED">
        <w:trPr>
          <w:trHeight w:val="638"/>
        </w:trPr>
        <w:tc>
          <w:tcPr>
            <w:tcW w:w="9576" w:type="dxa"/>
          </w:tcPr>
          <w:p w:rsidR="008728A8" w:rsidRPr="004004A7" w:rsidRDefault="008728A8" w:rsidP="00D050ED">
            <w:pPr>
              <w:spacing w:after="0"/>
              <w:jc w:val="both"/>
              <w:rPr>
                <w:rFonts w:ascii="Times New Roman" w:hAnsi="Times New Roman" w:cs="Times New Roman"/>
                <w:b/>
                <w:bCs/>
                <w:lang w:val="en-GB"/>
              </w:rPr>
            </w:pPr>
            <w:r w:rsidRPr="004004A7">
              <w:rPr>
                <w:rFonts w:ascii="Times New Roman" w:hAnsi="Times New Roman" w:cs="Times New Roman"/>
                <w:b/>
                <w:bCs/>
                <w:lang w:val="en-GB"/>
              </w:rPr>
              <w:t>Background</w:t>
            </w:r>
          </w:p>
          <w:p w:rsidR="00BC7F59" w:rsidRPr="004004A7" w:rsidRDefault="00BC7F59" w:rsidP="00BC7F59">
            <w:pPr>
              <w:jc w:val="both"/>
              <w:rPr>
                <w:rFonts w:ascii="Times New Roman" w:hAnsi="Times New Roman" w:cs="Times New Roman"/>
                <w:lang w:eastAsia="zh-CN"/>
              </w:rPr>
            </w:pPr>
            <w:r w:rsidRPr="004004A7">
              <w:rPr>
                <w:rFonts w:ascii="Times New Roman" w:hAnsi="Times New Roman" w:cs="Times New Roman"/>
                <w:lang w:eastAsia="zh-CN"/>
              </w:rPr>
              <w:t>The high-altitude platform stations as IMT base stations (HIBS) are located in the stratosphere, providing both uplink and downlink mobile connectivity to the ground-based user equipment (UE). HIBS are intended to be used as part of terrestrial International Mobile Telecommunications (IMT) networks, as an application of the mobile service, and may use the same frequency bands with ground-based IMT base stations. The UE to be served by the HIBS are proposed to be the same as the ground-based IMT base stations. Currently, the UE support a variety of frequency bands identified for IMT, including bands below 2.7 GHz.</w:t>
            </w:r>
          </w:p>
          <w:p w:rsidR="00BC7F59" w:rsidRPr="004004A7" w:rsidRDefault="00BC7F59" w:rsidP="00BC7F59">
            <w:pPr>
              <w:jc w:val="both"/>
              <w:rPr>
                <w:rFonts w:ascii="Times New Roman" w:hAnsi="Times New Roman" w:cs="Times New Roman"/>
                <w:lang w:eastAsia="zh-CN"/>
              </w:rPr>
            </w:pPr>
            <w:r w:rsidRPr="004004A7">
              <w:rPr>
                <w:rFonts w:ascii="Times New Roman" w:hAnsi="Times New Roman" w:cs="Times New Roman"/>
                <w:lang w:eastAsia="zh-CN"/>
              </w:rPr>
              <w:t xml:space="preserve">WRC-2000 identified through RR No. </w:t>
            </w:r>
            <w:r w:rsidRPr="004004A7">
              <w:rPr>
                <w:rFonts w:ascii="Times New Roman" w:hAnsi="Times New Roman" w:cs="Times New Roman"/>
                <w:b/>
                <w:lang w:eastAsia="zh-CN"/>
              </w:rPr>
              <w:t>5.388A</w:t>
            </w:r>
            <w:r w:rsidRPr="004004A7">
              <w:rPr>
                <w:rFonts w:ascii="Times New Roman" w:hAnsi="Times New Roman" w:cs="Times New Roman"/>
                <w:lang w:eastAsia="zh-CN"/>
              </w:rPr>
              <w:t xml:space="preserve"> the bands </w:t>
            </w:r>
            <w:r w:rsidRPr="004004A7">
              <w:rPr>
                <w:rFonts w:ascii="Times New Roman" w:hAnsi="Times New Roman" w:cs="Times New Roman"/>
                <w:b/>
                <w:lang w:eastAsia="zh-CN"/>
              </w:rPr>
              <w:t>1 885-1 980 MHz</w:t>
            </w:r>
            <w:r w:rsidRPr="004004A7">
              <w:rPr>
                <w:rFonts w:ascii="Times New Roman" w:hAnsi="Times New Roman" w:cs="Times New Roman"/>
                <w:lang w:eastAsia="zh-CN"/>
              </w:rPr>
              <w:t xml:space="preserve">, </w:t>
            </w:r>
            <w:r w:rsidRPr="004004A7">
              <w:rPr>
                <w:rFonts w:ascii="Times New Roman" w:hAnsi="Times New Roman" w:cs="Times New Roman"/>
                <w:b/>
                <w:lang w:eastAsia="zh-CN"/>
              </w:rPr>
              <w:t>2 010-2 025 MHz</w:t>
            </w:r>
            <w:r w:rsidRPr="004004A7">
              <w:rPr>
                <w:rFonts w:ascii="Times New Roman" w:hAnsi="Times New Roman" w:cs="Times New Roman"/>
                <w:lang w:eastAsia="zh-CN"/>
              </w:rPr>
              <w:t xml:space="preserve"> </w:t>
            </w:r>
            <w:proofErr w:type="gramStart"/>
            <w:r w:rsidRPr="004004A7">
              <w:rPr>
                <w:rFonts w:ascii="Times New Roman" w:hAnsi="Times New Roman" w:cs="Times New Roman"/>
                <w:lang w:eastAsia="zh-CN"/>
              </w:rPr>
              <w:t xml:space="preserve">and  </w:t>
            </w:r>
            <w:r w:rsidRPr="004004A7">
              <w:rPr>
                <w:rFonts w:ascii="Times New Roman" w:hAnsi="Times New Roman" w:cs="Times New Roman"/>
                <w:b/>
                <w:lang w:eastAsia="zh-CN"/>
              </w:rPr>
              <w:t>2</w:t>
            </w:r>
            <w:proofErr w:type="gramEnd"/>
            <w:r w:rsidRPr="004004A7">
              <w:rPr>
                <w:rFonts w:ascii="Times New Roman" w:hAnsi="Times New Roman" w:cs="Times New Roman"/>
                <w:b/>
                <w:lang w:eastAsia="zh-CN"/>
              </w:rPr>
              <w:t xml:space="preserve"> 110-2 170 MHz</w:t>
            </w:r>
            <w:r w:rsidRPr="004004A7">
              <w:rPr>
                <w:rFonts w:ascii="Times New Roman" w:hAnsi="Times New Roman" w:cs="Times New Roman"/>
                <w:lang w:eastAsia="zh-CN"/>
              </w:rPr>
              <w:t xml:space="preserve"> in Regions 1 and 3, and the bands 1 885-1 980 MHz and 2 110-2 160 MHz in Region 2 that may be used by high-altitude platform stations as base stations to provide IMT, in accordance with Resolution 221 (Rev.WRC-07). Furthermore, Resolution 221 (Rev.WRC-07) provides the technical conditions that need to be met by these high-altitude platform stations to ensure that emissions to neighboring countries does not cause co-channel harmful interference to the other services and applications allocated in these bands, including terrestrial IMT-2000 stations.</w:t>
            </w:r>
          </w:p>
          <w:p w:rsidR="008728A8" w:rsidRDefault="00BC7F59" w:rsidP="00BC7F59">
            <w:pPr>
              <w:autoSpaceDE w:val="0"/>
              <w:autoSpaceDN w:val="0"/>
              <w:adjustRightInd w:val="0"/>
              <w:spacing w:after="0"/>
              <w:jc w:val="both"/>
              <w:rPr>
                <w:rFonts w:ascii="Times New Roman" w:hAnsi="Times New Roman" w:cs="Times New Roman"/>
                <w:lang w:eastAsia="zh-CN"/>
              </w:rPr>
            </w:pPr>
            <w:r w:rsidRPr="004004A7">
              <w:rPr>
                <w:rFonts w:ascii="Times New Roman" w:hAnsi="Times New Roman" w:cs="Times New Roman"/>
                <w:lang w:eastAsia="zh-CN"/>
              </w:rPr>
              <w:t xml:space="preserve">The work under WRC-23 agenda item 1.4 includes studying sharing and compatibility in the frequency bands </w:t>
            </w:r>
            <w:r w:rsidRPr="004004A7">
              <w:rPr>
                <w:rFonts w:ascii="Times New Roman" w:hAnsi="Times New Roman" w:cs="Times New Roman"/>
                <w:b/>
                <w:lang w:eastAsia="zh-CN"/>
              </w:rPr>
              <w:t>694-960 MHz</w:t>
            </w:r>
            <w:r w:rsidRPr="004004A7">
              <w:rPr>
                <w:rFonts w:ascii="Times New Roman" w:hAnsi="Times New Roman" w:cs="Times New Roman"/>
                <w:lang w:eastAsia="zh-CN"/>
              </w:rPr>
              <w:t xml:space="preserve">, </w:t>
            </w:r>
            <w:r w:rsidRPr="004004A7">
              <w:rPr>
                <w:rFonts w:ascii="Times New Roman" w:hAnsi="Times New Roman" w:cs="Times New Roman"/>
                <w:b/>
                <w:lang w:eastAsia="zh-CN"/>
              </w:rPr>
              <w:t>1 710-1 885 MHz</w:t>
            </w:r>
            <w:r w:rsidRPr="004004A7">
              <w:rPr>
                <w:rFonts w:ascii="Times New Roman" w:hAnsi="Times New Roman" w:cs="Times New Roman"/>
                <w:lang w:eastAsia="zh-CN"/>
              </w:rPr>
              <w:t xml:space="preserve"> and </w:t>
            </w:r>
            <w:r w:rsidRPr="004004A7">
              <w:rPr>
                <w:rFonts w:ascii="Times New Roman" w:hAnsi="Times New Roman" w:cs="Times New Roman"/>
                <w:b/>
                <w:lang w:eastAsia="zh-CN"/>
              </w:rPr>
              <w:t>2 500-2 690 MHz</w:t>
            </w:r>
            <w:r w:rsidRPr="004004A7">
              <w:rPr>
                <w:rFonts w:ascii="Times New Roman" w:hAnsi="Times New Roman" w:cs="Times New Roman"/>
                <w:lang w:eastAsia="zh-CN"/>
              </w:rPr>
              <w:t xml:space="preserve">, as well as appropriate modifications to the existing RR No. </w:t>
            </w:r>
            <w:r w:rsidRPr="004004A7">
              <w:rPr>
                <w:rFonts w:ascii="Times New Roman" w:hAnsi="Times New Roman" w:cs="Times New Roman"/>
                <w:b/>
                <w:lang w:eastAsia="zh-CN"/>
              </w:rPr>
              <w:t>5.388A</w:t>
            </w:r>
            <w:r w:rsidRPr="004004A7">
              <w:rPr>
                <w:rFonts w:ascii="Times New Roman" w:hAnsi="Times New Roman" w:cs="Times New Roman"/>
                <w:lang w:eastAsia="zh-CN"/>
              </w:rPr>
              <w:t xml:space="preserve"> and associated Resolution </w:t>
            </w:r>
            <w:r w:rsidRPr="004004A7">
              <w:rPr>
                <w:rFonts w:ascii="Times New Roman" w:hAnsi="Times New Roman" w:cs="Times New Roman"/>
                <w:b/>
                <w:lang w:eastAsia="zh-CN"/>
              </w:rPr>
              <w:t>221 (Rev.WRC-07)</w:t>
            </w:r>
            <w:r w:rsidRPr="004004A7">
              <w:rPr>
                <w:rFonts w:ascii="Times New Roman" w:hAnsi="Times New Roman" w:cs="Times New Roman"/>
                <w:lang w:eastAsia="zh-CN"/>
              </w:rPr>
              <w:t>. These studies aim to provide more flexibility on the use of such frequency bands by HIBS, including the use of the most recent radio interface technologies of IMT. This would allow HIBS to provide mobile-broadband connectivity to underserved communities, and in rural and remote areas, while ensuring the protection of existing primary services in the same and adjacent bands.</w:t>
            </w:r>
          </w:p>
          <w:p w:rsidR="004004A7" w:rsidRDefault="004004A7" w:rsidP="00BC7F59">
            <w:pPr>
              <w:autoSpaceDE w:val="0"/>
              <w:autoSpaceDN w:val="0"/>
              <w:adjustRightInd w:val="0"/>
              <w:spacing w:after="0"/>
              <w:jc w:val="both"/>
              <w:rPr>
                <w:rFonts w:ascii="Times New Roman" w:hAnsi="Times New Roman" w:cs="Times New Roman"/>
                <w:lang w:eastAsia="zh-CN"/>
              </w:rPr>
            </w:pPr>
          </w:p>
          <w:p w:rsidR="004004A7" w:rsidRDefault="004004A7" w:rsidP="00BC7F59">
            <w:pPr>
              <w:autoSpaceDE w:val="0"/>
              <w:autoSpaceDN w:val="0"/>
              <w:adjustRightInd w:val="0"/>
              <w:spacing w:after="0"/>
              <w:jc w:val="both"/>
              <w:rPr>
                <w:rFonts w:ascii="Times New Roman" w:hAnsi="Times New Roman" w:cs="Times New Roman"/>
                <w:lang w:eastAsia="zh-CN"/>
              </w:rPr>
            </w:pPr>
          </w:p>
          <w:p w:rsidR="004004A7" w:rsidRDefault="004004A7" w:rsidP="00BC7F59">
            <w:pPr>
              <w:autoSpaceDE w:val="0"/>
              <w:autoSpaceDN w:val="0"/>
              <w:adjustRightInd w:val="0"/>
              <w:spacing w:after="0"/>
              <w:jc w:val="both"/>
              <w:rPr>
                <w:rFonts w:ascii="Times New Roman" w:hAnsi="Times New Roman" w:cs="Times New Roman"/>
                <w:lang w:eastAsia="zh-CN"/>
              </w:rPr>
            </w:pPr>
          </w:p>
          <w:p w:rsidR="004004A7" w:rsidRPr="004004A7" w:rsidRDefault="004004A7" w:rsidP="00BC7F59">
            <w:pPr>
              <w:autoSpaceDE w:val="0"/>
              <w:autoSpaceDN w:val="0"/>
              <w:adjustRightInd w:val="0"/>
              <w:spacing w:after="0"/>
              <w:jc w:val="both"/>
              <w:rPr>
                <w:rFonts w:ascii="Times New Roman" w:eastAsia="Times New Roman" w:hAnsi="Times New Roman" w:cs="Times New Roman"/>
              </w:rPr>
            </w:pPr>
          </w:p>
        </w:tc>
      </w:tr>
      <w:tr w:rsidR="008728A8" w:rsidRPr="004004A7" w:rsidTr="00D050ED">
        <w:tc>
          <w:tcPr>
            <w:tcW w:w="9576" w:type="dxa"/>
          </w:tcPr>
          <w:p w:rsidR="008728A8" w:rsidRPr="004004A7" w:rsidRDefault="008728A8" w:rsidP="00D050ED">
            <w:pPr>
              <w:spacing w:after="0" w:line="240" w:lineRule="auto"/>
              <w:rPr>
                <w:rFonts w:ascii="Times New Roman" w:eastAsia="Times New Roman" w:hAnsi="Times New Roman" w:cs="Times New Roman"/>
                <w:b/>
                <w:i/>
                <w:color w:val="00B050"/>
                <w:spacing w:val="60"/>
              </w:rPr>
            </w:pPr>
            <w:r w:rsidRPr="004004A7">
              <w:rPr>
                <w:rFonts w:ascii="Times New Roman" w:eastAsia="Times New Roman" w:hAnsi="Times New Roman" w:cs="Times New Roman"/>
                <w:b/>
                <w:i/>
                <w:color w:val="00B050"/>
                <w:spacing w:val="60"/>
              </w:rPr>
              <w:lastRenderedPageBreak/>
              <w:t>Part C: Current Status of Band</w:t>
            </w:r>
          </w:p>
        </w:tc>
      </w:tr>
      <w:tr w:rsidR="008728A8" w:rsidRPr="004004A7" w:rsidTr="00D050ED">
        <w:trPr>
          <w:trHeight w:val="1048"/>
        </w:trPr>
        <w:tc>
          <w:tcPr>
            <w:tcW w:w="9576" w:type="dxa"/>
          </w:tcPr>
          <w:p w:rsidR="004004A7" w:rsidRDefault="004004A7" w:rsidP="008728A8">
            <w:pPr>
              <w:jc w:val="both"/>
              <w:rPr>
                <w:rFonts w:ascii="Times New Roman" w:hAnsi="Times New Roman" w:cs="Times New Roman"/>
              </w:rPr>
            </w:pPr>
          </w:p>
          <w:p w:rsidR="00624B9D" w:rsidRPr="004004A7" w:rsidRDefault="008728A8" w:rsidP="008728A8">
            <w:pPr>
              <w:jc w:val="both"/>
              <w:rPr>
                <w:rFonts w:ascii="Times New Roman" w:hAnsi="Times New Roman" w:cs="Times New Roman"/>
                <w:lang w:eastAsia="zh-CN"/>
              </w:rPr>
            </w:pPr>
            <w:r w:rsidRPr="004004A7">
              <w:rPr>
                <w:rFonts w:ascii="Times New Roman" w:hAnsi="Times New Roman" w:cs="Times New Roman"/>
              </w:rPr>
              <w:t xml:space="preserve">WP5D </w:t>
            </w:r>
            <w:r w:rsidR="00624B9D" w:rsidRPr="004004A7">
              <w:rPr>
                <w:rFonts w:ascii="Times New Roman" w:hAnsi="Times New Roman" w:cs="Times New Roman"/>
              </w:rPr>
              <w:t xml:space="preserve">updated the </w:t>
            </w:r>
            <w:r w:rsidR="00624B9D" w:rsidRPr="004004A7">
              <w:rPr>
                <w:rFonts w:ascii="Times New Roman" w:hAnsi="Times New Roman" w:cs="Times New Roman"/>
                <w:lang w:eastAsia="zh-CN"/>
              </w:rPr>
              <w:t xml:space="preserve">working document towards a PDN Report ITU-R M.[HIBS-CHARACTERISTICS], which addresses the spectrum needs, usage and deployment scenarios, and technical and operational characteristics for the use HIBS. </w:t>
            </w:r>
          </w:p>
          <w:p w:rsidR="00624B9D" w:rsidRPr="004004A7" w:rsidRDefault="00624B9D" w:rsidP="008728A8">
            <w:pPr>
              <w:jc w:val="both"/>
              <w:rPr>
                <w:rFonts w:ascii="Times New Roman" w:hAnsi="Times New Roman" w:cs="Times New Roman"/>
                <w:lang w:eastAsia="zh-CN"/>
              </w:rPr>
            </w:pPr>
            <w:r w:rsidRPr="004004A7">
              <w:rPr>
                <w:rFonts w:ascii="Times New Roman" w:hAnsi="Times New Roman" w:cs="Times New Roman"/>
                <w:lang w:eastAsia="zh-CN"/>
              </w:rPr>
              <w:t>The working document towards sharing and compatibility studies of HIBS under WRC-23 agenda item 1.4 was updated, which contains a framework for the studies, and four annexes divided by the different frequency ranges under study. The document also contains a table that summarizes the information available to date for the sharing and compatibility studies, based on the ongoing work in WP 5D and on the information received from the different contributing groups, as well as some preliminary technical studies that have been provided. WP5D expects more studies to be provided to address the different services and applications</w:t>
            </w:r>
          </w:p>
          <w:p w:rsidR="00624B9D" w:rsidRPr="004004A7" w:rsidRDefault="00624B9D" w:rsidP="008728A8">
            <w:pPr>
              <w:jc w:val="both"/>
              <w:rPr>
                <w:rFonts w:ascii="Times New Roman" w:hAnsi="Times New Roman" w:cs="Times New Roman"/>
              </w:rPr>
            </w:pPr>
            <w:r w:rsidRPr="004004A7">
              <w:rPr>
                <w:rFonts w:ascii="Times New Roman" w:hAnsi="Times New Roman" w:cs="Times New Roman"/>
              </w:rPr>
              <w:t>WP5D is conducting sharing and compatibility studies for HIBS usage with a view to protect the existing and planned development of primary allocated services in all regions from the potential usage of HIBS</w:t>
            </w:r>
          </w:p>
          <w:p w:rsidR="008728A8" w:rsidRPr="004004A7" w:rsidRDefault="008728A8" w:rsidP="008728A8">
            <w:pPr>
              <w:jc w:val="both"/>
              <w:rPr>
                <w:rFonts w:ascii="Times New Roman" w:hAnsi="Times New Roman" w:cs="Times New Roman"/>
              </w:rPr>
            </w:pPr>
            <w:r w:rsidRPr="004004A7">
              <w:rPr>
                <w:rFonts w:ascii="Times New Roman" w:hAnsi="Times New Roman" w:cs="Times New Roman"/>
              </w:rPr>
              <w:t xml:space="preserve">The work plan was reviewed and </w:t>
            </w:r>
            <w:r w:rsidR="00BC7F59" w:rsidRPr="004004A7">
              <w:rPr>
                <w:rFonts w:ascii="Times New Roman" w:hAnsi="Times New Roman" w:cs="Times New Roman"/>
              </w:rPr>
              <w:t>updated</w:t>
            </w:r>
            <w:r w:rsidRPr="004004A7">
              <w:rPr>
                <w:rFonts w:ascii="Times New Roman" w:hAnsi="Times New Roman" w:cs="Times New Roman"/>
              </w:rPr>
              <w:t>.</w:t>
            </w:r>
          </w:p>
          <w:p w:rsidR="008728A8" w:rsidRPr="004004A7" w:rsidRDefault="00BC7F59" w:rsidP="008728A8">
            <w:pPr>
              <w:jc w:val="both"/>
              <w:rPr>
                <w:rFonts w:ascii="Times New Roman" w:hAnsi="Times New Roman" w:cs="Times New Roman"/>
              </w:rPr>
            </w:pPr>
            <w:r w:rsidRPr="004004A7">
              <w:rPr>
                <w:rFonts w:ascii="Times New Roman" w:hAnsi="Times New Roman" w:cs="Times New Roman"/>
              </w:rPr>
              <w:t>The objective of the agenda item is t</w:t>
            </w:r>
            <w:r w:rsidR="008728A8" w:rsidRPr="004004A7">
              <w:rPr>
                <w:rFonts w:ascii="Times New Roman" w:hAnsi="Times New Roman" w:cs="Times New Roman"/>
              </w:rPr>
              <w:t xml:space="preserve">o develop the draft CPM text for WRC-23 agenda item 1.4, as well as associated studies, in accordance with Resolution 247 (WRC-19), including: – </w:t>
            </w:r>
          </w:p>
          <w:p w:rsidR="008728A8" w:rsidRPr="004004A7" w:rsidRDefault="008728A8" w:rsidP="008728A8">
            <w:pPr>
              <w:pStyle w:val="ListParagraph"/>
              <w:numPr>
                <w:ilvl w:val="0"/>
                <w:numId w:val="4"/>
              </w:numPr>
              <w:jc w:val="both"/>
              <w:rPr>
                <w:rFonts w:ascii="Times New Roman" w:hAnsi="Times New Roman"/>
              </w:rPr>
            </w:pPr>
            <w:r w:rsidRPr="004004A7">
              <w:rPr>
                <w:rFonts w:ascii="Times New Roman" w:hAnsi="Times New Roman"/>
              </w:rPr>
              <w:t xml:space="preserve">Spectrum needs, usage and deployment scenarios, and technical and operational characteristics for the use of HIBS. </w:t>
            </w:r>
          </w:p>
          <w:p w:rsidR="008728A8" w:rsidRPr="004004A7" w:rsidRDefault="008728A8" w:rsidP="008728A8">
            <w:pPr>
              <w:pStyle w:val="ListParagraph"/>
              <w:numPr>
                <w:ilvl w:val="0"/>
                <w:numId w:val="4"/>
              </w:numPr>
              <w:jc w:val="both"/>
              <w:rPr>
                <w:rFonts w:ascii="Times New Roman" w:hAnsi="Times New Roman"/>
              </w:rPr>
            </w:pPr>
            <w:r w:rsidRPr="004004A7">
              <w:rPr>
                <w:rFonts w:ascii="Times New Roman" w:hAnsi="Times New Roman"/>
              </w:rPr>
              <w:t xml:space="preserve">Sharing and compatibility studies. </w:t>
            </w:r>
          </w:p>
          <w:p w:rsidR="008728A8" w:rsidRPr="004004A7" w:rsidRDefault="008728A8" w:rsidP="008728A8">
            <w:pPr>
              <w:pStyle w:val="ListParagraph"/>
              <w:numPr>
                <w:ilvl w:val="0"/>
                <w:numId w:val="4"/>
              </w:numPr>
              <w:jc w:val="both"/>
              <w:rPr>
                <w:rFonts w:ascii="Times New Roman" w:hAnsi="Times New Roman"/>
              </w:rPr>
            </w:pPr>
            <w:r w:rsidRPr="004004A7">
              <w:rPr>
                <w:rFonts w:ascii="Times New Roman" w:hAnsi="Times New Roman"/>
              </w:rPr>
              <w:t xml:space="preserve">Modifications of existing RR footnote No. 5.388A and associated resolution. </w:t>
            </w:r>
          </w:p>
          <w:p w:rsidR="008728A8" w:rsidRPr="004004A7" w:rsidRDefault="008728A8" w:rsidP="008728A8">
            <w:pPr>
              <w:pStyle w:val="ListParagraph"/>
              <w:numPr>
                <w:ilvl w:val="0"/>
                <w:numId w:val="4"/>
              </w:numPr>
              <w:jc w:val="both"/>
              <w:rPr>
                <w:rFonts w:ascii="Times New Roman" w:hAnsi="Times New Roman"/>
              </w:rPr>
            </w:pPr>
            <w:r w:rsidRPr="004004A7">
              <w:rPr>
                <w:rFonts w:ascii="Times New Roman" w:hAnsi="Times New Roman"/>
              </w:rPr>
              <w:t xml:space="preserve">Definition of HIBS. </w:t>
            </w:r>
          </w:p>
          <w:p w:rsidR="008728A8" w:rsidRPr="004004A7" w:rsidRDefault="008728A8" w:rsidP="008728A8">
            <w:pPr>
              <w:jc w:val="both"/>
              <w:rPr>
                <w:rFonts w:ascii="Times New Roman" w:hAnsi="Times New Roman" w:cs="Times New Roman"/>
              </w:rPr>
            </w:pPr>
            <w:r w:rsidRPr="004004A7">
              <w:rPr>
                <w:rFonts w:ascii="Times New Roman" w:hAnsi="Times New Roman" w:cs="Times New Roman"/>
              </w:rPr>
              <w:t>And develop draft new ITU-R Recommendation(s) and/or Report(s), and any other supporting documents, as appropriate.</w:t>
            </w:r>
          </w:p>
          <w:p w:rsidR="00BC7F59" w:rsidRPr="004004A7" w:rsidRDefault="00BC7F59" w:rsidP="008728A8">
            <w:pPr>
              <w:jc w:val="both"/>
              <w:rPr>
                <w:rFonts w:ascii="Times New Roman" w:hAnsi="Times New Roman" w:cs="Times New Roman"/>
              </w:rPr>
            </w:pPr>
            <w:r w:rsidRPr="004004A7">
              <w:rPr>
                <w:rFonts w:ascii="Times New Roman" w:hAnsi="Times New Roman" w:cs="Times New Roman"/>
              </w:rPr>
              <w:t>The following draft documents have been generated by WP5D: -</w:t>
            </w:r>
          </w:p>
          <w:p w:rsidR="00BC7F59" w:rsidRPr="004004A7" w:rsidRDefault="00BC7F59" w:rsidP="00BC7F59">
            <w:pPr>
              <w:pStyle w:val="ListParagraph"/>
              <w:numPr>
                <w:ilvl w:val="0"/>
                <w:numId w:val="5"/>
              </w:numPr>
              <w:jc w:val="both"/>
              <w:rPr>
                <w:rFonts w:ascii="Times New Roman" w:hAnsi="Times New Roman"/>
                <w:lang w:eastAsia="zh-CN"/>
              </w:rPr>
            </w:pPr>
            <w:r w:rsidRPr="004004A7">
              <w:rPr>
                <w:rFonts w:ascii="Times New Roman" w:hAnsi="Times New Roman"/>
                <w:lang w:eastAsia="zh-CN"/>
              </w:rPr>
              <w:t>Working document towards a PDNR ITU-R M.[HIBS-CHARACTERISTICS]</w:t>
            </w:r>
          </w:p>
          <w:p w:rsidR="00BC7F59" w:rsidRPr="004004A7" w:rsidRDefault="00BC7F59" w:rsidP="00BC7F59">
            <w:pPr>
              <w:pStyle w:val="ListParagraph"/>
              <w:numPr>
                <w:ilvl w:val="0"/>
                <w:numId w:val="5"/>
              </w:numPr>
              <w:jc w:val="both"/>
              <w:rPr>
                <w:rFonts w:ascii="Times New Roman" w:hAnsi="Times New Roman"/>
                <w:lang w:eastAsia="zh-CN"/>
              </w:rPr>
            </w:pPr>
            <w:r w:rsidRPr="004004A7">
              <w:rPr>
                <w:rFonts w:ascii="Times New Roman" w:hAnsi="Times New Roman"/>
                <w:lang w:eastAsia="zh-CN"/>
              </w:rPr>
              <w:t>Working document towards sharing and compatibility studies of HIBS</w:t>
            </w:r>
          </w:p>
          <w:p w:rsidR="00BC7F59" w:rsidRPr="004004A7" w:rsidRDefault="00BC7F59" w:rsidP="00BC7F59">
            <w:pPr>
              <w:pStyle w:val="ListParagraph"/>
              <w:numPr>
                <w:ilvl w:val="0"/>
                <w:numId w:val="5"/>
              </w:numPr>
              <w:jc w:val="both"/>
              <w:rPr>
                <w:rFonts w:ascii="Times New Roman" w:hAnsi="Times New Roman"/>
              </w:rPr>
            </w:pPr>
            <w:r w:rsidRPr="004004A7">
              <w:rPr>
                <w:rFonts w:ascii="Times New Roman" w:hAnsi="Times New Roman"/>
                <w:lang w:eastAsia="zh-CN"/>
              </w:rPr>
              <w:t xml:space="preserve">Working document towards </w:t>
            </w:r>
            <w:r w:rsidRPr="004004A7">
              <w:rPr>
                <w:rFonts w:ascii="Times New Roman" w:hAnsi="Times New Roman"/>
              </w:rPr>
              <w:t>preliminary draft CPM text for WRC</w:t>
            </w:r>
            <w:r w:rsidRPr="004004A7">
              <w:rPr>
                <w:rFonts w:ascii="Times New Roman" w:hAnsi="Times New Roman"/>
              </w:rPr>
              <w:noBreakHyphen/>
              <w:t>23</w:t>
            </w:r>
          </w:p>
          <w:p w:rsidR="00BC7F59" w:rsidRPr="004004A7" w:rsidRDefault="00BC7F59" w:rsidP="00BC7F59">
            <w:pPr>
              <w:pStyle w:val="ListParagraph"/>
              <w:numPr>
                <w:ilvl w:val="0"/>
                <w:numId w:val="5"/>
              </w:numPr>
              <w:jc w:val="both"/>
              <w:rPr>
                <w:rFonts w:ascii="Times New Roman" w:hAnsi="Times New Roman"/>
              </w:rPr>
            </w:pPr>
            <w:r w:rsidRPr="004004A7">
              <w:rPr>
                <w:rFonts w:ascii="Times New Roman" w:hAnsi="Times New Roman"/>
                <w:lang w:eastAsia="zh-CN"/>
              </w:rPr>
              <w:t>Detailed work-plan for WRC-23 agenda item 1.4</w:t>
            </w:r>
          </w:p>
        </w:tc>
      </w:tr>
      <w:tr w:rsidR="008728A8" w:rsidRPr="004004A7" w:rsidTr="00D050ED">
        <w:tc>
          <w:tcPr>
            <w:tcW w:w="9576" w:type="dxa"/>
          </w:tcPr>
          <w:p w:rsidR="008728A8" w:rsidRPr="004004A7" w:rsidRDefault="008728A8" w:rsidP="00D050ED">
            <w:pPr>
              <w:spacing w:after="0" w:line="240" w:lineRule="auto"/>
              <w:rPr>
                <w:rFonts w:ascii="Times New Roman" w:eastAsia="Times New Roman" w:hAnsi="Times New Roman" w:cs="Times New Roman"/>
                <w:b/>
                <w:i/>
                <w:color w:val="00B050"/>
                <w:spacing w:val="60"/>
              </w:rPr>
            </w:pPr>
            <w:r w:rsidRPr="004004A7">
              <w:rPr>
                <w:rFonts w:ascii="Times New Roman" w:eastAsia="Times New Roman" w:hAnsi="Times New Roman" w:cs="Times New Roman"/>
                <w:b/>
                <w:i/>
                <w:color w:val="00B050"/>
                <w:spacing w:val="60"/>
              </w:rPr>
              <w:t>Part D: Conclusion of the results of studies, if any</w:t>
            </w:r>
          </w:p>
        </w:tc>
      </w:tr>
      <w:tr w:rsidR="008728A8" w:rsidRPr="004004A7" w:rsidTr="00D050ED">
        <w:trPr>
          <w:trHeight w:val="1151"/>
        </w:trPr>
        <w:tc>
          <w:tcPr>
            <w:tcW w:w="9576" w:type="dxa"/>
          </w:tcPr>
          <w:p w:rsidR="004004A7" w:rsidRDefault="00BC7F59" w:rsidP="00D050ED">
            <w:pPr>
              <w:spacing w:after="0" w:line="240" w:lineRule="auto"/>
              <w:jc w:val="both"/>
              <w:rPr>
                <w:rFonts w:ascii="Times New Roman" w:eastAsia="Times New Roman" w:hAnsi="Times New Roman" w:cs="Times New Roman"/>
              </w:rPr>
            </w:pPr>
            <w:r w:rsidRPr="004004A7">
              <w:rPr>
                <w:rFonts w:ascii="Times New Roman" w:eastAsia="Times New Roman" w:hAnsi="Times New Roman" w:cs="Times New Roman"/>
                <w:iCs/>
                <w:lang w:val="en-GB" w:eastAsia="hi-IN" w:bidi="hi-IN"/>
              </w:rPr>
              <w:t>Sharing and Compatibility Studies are still ongoing.</w:t>
            </w:r>
          </w:p>
          <w:p w:rsidR="008728A8" w:rsidRPr="004004A7" w:rsidRDefault="008728A8" w:rsidP="004004A7">
            <w:pPr>
              <w:tabs>
                <w:tab w:val="left" w:pos="1680"/>
              </w:tabs>
              <w:rPr>
                <w:rFonts w:ascii="Times New Roman" w:eastAsia="Times New Roman" w:hAnsi="Times New Roman" w:cs="Times New Roman"/>
              </w:rPr>
            </w:pPr>
          </w:p>
        </w:tc>
      </w:tr>
      <w:tr w:rsidR="008728A8" w:rsidRPr="004004A7" w:rsidTr="00D050ED">
        <w:tc>
          <w:tcPr>
            <w:tcW w:w="9576" w:type="dxa"/>
          </w:tcPr>
          <w:p w:rsidR="008728A8" w:rsidRPr="004004A7" w:rsidRDefault="008728A8" w:rsidP="00D050ED">
            <w:pPr>
              <w:spacing w:after="0" w:line="240" w:lineRule="auto"/>
              <w:rPr>
                <w:rFonts w:ascii="Times New Roman" w:eastAsia="Times New Roman" w:hAnsi="Times New Roman" w:cs="Times New Roman"/>
                <w:b/>
                <w:i/>
                <w:color w:val="00B050"/>
                <w:spacing w:val="60"/>
              </w:rPr>
            </w:pPr>
            <w:r w:rsidRPr="004004A7">
              <w:rPr>
                <w:rFonts w:ascii="Times New Roman" w:eastAsia="Times New Roman" w:hAnsi="Times New Roman" w:cs="Times New Roman"/>
                <w:b/>
                <w:i/>
                <w:color w:val="00B050"/>
                <w:spacing w:val="60"/>
              </w:rPr>
              <w:t>Part E: Options and Associated Implications</w:t>
            </w:r>
          </w:p>
        </w:tc>
      </w:tr>
      <w:tr w:rsidR="008728A8" w:rsidRPr="004004A7" w:rsidTr="00D050ED">
        <w:trPr>
          <w:trHeight w:val="1151"/>
        </w:trPr>
        <w:tc>
          <w:tcPr>
            <w:tcW w:w="9576" w:type="dxa"/>
          </w:tcPr>
          <w:p w:rsidR="008728A8" w:rsidRPr="004004A7" w:rsidRDefault="00BC7F59" w:rsidP="00D050ED">
            <w:pPr>
              <w:spacing w:after="0" w:line="240" w:lineRule="auto"/>
              <w:jc w:val="both"/>
              <w:rPr>
                <w:rFonts w:ascii="Times New Roman" w:eastAsia="Times New Roman" w:hAnsi="Times New Roman" w:cs="Times New Roman"/>
              </w:rPr>
            </w:pPr>
            <w:r w:rsidRPr="004004A7">
              <w:rPr>
                <w:rFonts w:ascii="Times New Roman" w:eastAsia="Times New Roman" w:hAnsi="Times New Roman" w:cs="Times New Roman"/>
                <w:iCs/>
                <w:lang w:val="en-GB" w:eastAsia="hi-IN" w:bidi="hi-IN"/>
              </w:rPr>
              <w:lastRenderedPageBreak/>
              <w:t>Options to satisfy the agenda item are yet to be developed by the relevant working parties</w:t>
            </w:r>
          </w:p>
        </w:tc>
      </w:tr>
      <w:tr w:rsidR="008728A8" w:rsidRPr="004004A7" w:rsidTr="00D050ED">
        <w:trPr>
          <w:trHeight w:val="60"/>
        </w:trPr>
        <w:tc>
          <w:tcPr>
            <w:tcW w:w="9576" w:type="dxa"/>
          </w:tcPr>
          <w:p w:rsidR="008728A8" w:rsidRPr="004004A7" w:rsidRDefault="008728A8" w:rsidP="00D050ED">
            <w:pPr>
              <w:spacing w:after="0" w:line="240" w:lineRule="auto"/>
              <w:rPr>
                <w:rFonts w:ascii="Times New Roman" w:eastAsia="Times New Roman" w:hAnsi="Times New Roman" w:cs="Times New Roman"/>
                <w:b/>
                <w:i/>
                <w:color w:val="00B050"/>
                <w:spacing w:val="60"/>
              </w:rPr>
            </w:pPr>
            <w:r w:rsidRPr="004004A7">
              <w:rPr>
                <w:rFonts w:ascii="Times New Roman" w:eastAsia="Times New Roman" w:hAnsi="Times New Roman" w:cs="Times New Roman"/>
                <w:b/>
                <w:i/>
                <w:color w:val="00B050"/>
                <w:spacing w:val="60"/>
              </w:rPr>
              <w:t>Part F: Proposed African Common View and/or Position</w:t>
            </w:r>
          </w:p>
        </w:tc>
      </w:tr>
      <w:tr w:rsidR="008728A8" w:rsidRPr="004004A7" w:rsidTr="00D050ED">
        <w:trPr>
          <w:trHeight w:val="998"/>
        </w:trPr>
        <w:tc>
          <w:tcPr>
            <w:tcW w:w="9576" w:type="dxa"/>
          </w:tcPr>
          <w:p w:rsidR="008728A8" w:rsidRPr="004004A7" w:rsidRDefault="008728A8" w:rsidP="004004A7">
            <w:pPr>
              <w:jc w:val="both"/>
              <w:rPr>
                <w:rFonts w:ascii="Times New Roman" w:hAnsi="Times New Roman" w:cs="Times New Roman"/>
              </w:rPr>
            </w:pPr>
            <w:r w:rsidRPr="004004A7">
              <w:rPr>
                <w:rFonts w:ascii="Times New Roman" w:hAnsi="Times New Roman" w:cs="Times New Roman"/>
              </w:rPr>
              <w:t xml:space="preserve">Support ITU-R </w:t>
            </w:r>
            <w:r w:rsidR="004004A7" w:rsidRPr="004004A7">
              <w:rPr>
                <w:rFonts w:ascii="Times New Roman" w:hAnsi="Times New Roman" w:cs="Times New Roman"/>
              </w:rPr>
              <w:t xml:space="preserve">sharing and compatibility studies for HIBS usage </w:t>
            </w:r>
            <w:r w:rsidRPr="004004A7">
              <w:rPr>
                <w:rFonts w:ascii="Times New Roman" w:hAnsi="Times New Roman" w:cs="Times New Roman"/>
              </w:rPr>
              <w:t xml:space="preserve">and protection of </w:t>
            </w:r>
            <w:r w:rsidR="004004A7" w:rsidRPr="004004A7">
              <w:rPr>
                <w:rFonts w:ascii="Times New Roman" w:hAnsi="Times New Roman" w:cs="Times New Roman"/>
              </w:rPr>
              <w:t xml:space="preserve">existing </w:t>
            </w:r>
            <w:r w:rsidRPr="004004A7">
              <w:rPr>
                <w:rFonts w:ascii="Times New Roman" w:hAnsi="Times New Roman" w:cs="Times New Roman"/>
              </w:rPr>
              <w:t xml:space="preserve">co-primary and primary services in adjacent bands without imposing any undue technical or regulatory constraints on these services. </w:t>
            </w:r>
          </w:p>
        </w:tc>
      </w:tr>
      <w:tr w:rsidR="008728A8" w:rsidRPr="004004A7" w:rsidTr="00D050ED">
        <w:trPr>
          <w:trHeight w:val="60"/>
        </w:trPr>
        <w:tc>
          <w:tcPr>
            <w:tcW w:w="9576" w:type="dxa"/>
          </w:tcPr>
          <w:p w:rsidR="008728A8" w:rsidRPr="004004A7" w:rsidRDefault="008728A8" w:rsidP="00D050ED">
            <w:pPr>
              <w:spacing w:after="0" w:line="240" w:lineRule="auto"/>
              <w:rPr>
                <w:rFonts w:ascii="Times New Roman" w:eastAsia="Times New Roman" w:hAnsi="Times New Roman" w:cs="Times New Roman"/>
                <w:i/>
                <w:color w:val="00B050"/>
              </w:rPr>
            </w:pPr>
            <w:r w:rsidRPr="004004A7">
              <w:rPr>
                <w:rFonts w:ascii="Times New Roman" w:eastAsia="Times New Roman" w:hAnsi="Times New Roman" w:cs="Times New Roman"/>
                <w:b/>
                <w:i/>
                <w:color w:val="00B050"/>
                <w:spacing w:val="60"/>
              </w:rPr>
              <w:t>Part G: Recommendations and Way Forward</w:t>
            </w:r>
          </w:p>
        </w:tc>
      </w:tr>
      <w:tr w:rsidR="008728A8" w:rsidRPr="004004A7" w:rsidTr="00D050ED">
        <w:trPr>
          <w:trHeight w:val="1268"/>
        </w:trPr>
        <w:tc>
          <w:tcPr>
            <w:tcW w:w="9576" w:type="dxa"/>
          </w:tcPr>
          <w:p w:rsidR="008728A8" w:rsidRPr="004004A7" w:rsidRDefault="008728A8" w:rsidP="008728A8">
            <w:pPr>
              <w:jc w:val="both"/>
              <w:rPr>
                <w:rFonts w:ascii="Times New Roman" w:hAnsi="Times New Roman" w:cs="Times New Roman"/>
              </w:rPr>
            </w:pPr>
            <w:r w:rsidRPr="004004A7">
              <w:rPr>
                <w:rFonts w:ascii="Times New Roman" w:hAnsi="Times New Roman" w:cs="Times New Roman"/>
                <w:lang w:val="en-GB"/>
              </w:rPr>
              <w:t>ATU</w:t>
            </w:r>
            <w:r w:rsidRPr="004004A7">
              <w:rPr>
                <w:rFonts w:ascii="Times New Roman" w:hAnsi="Times New Roman" w:cs="Times New Roman"/>
              </w:rPr>
              <w:t xml:space="preserve"> </w:t>
            </w:r>
            <w:r w:rsidRPr="004004A7">
              <w:rPr>
                <w:rFonts w:ascii="Times New Roman" w:hAnsi="Times New Roman" w:cs="Times New Roman"/>
                <w:lang w:val="en-GB"/>
              </w:rPr>
              <w:t>A</w:t>
            </w:r>
            <w:proofErr w:type="spellStart"/>
            <w:r w:rsidRPr="004004A7">
              <w:rPr>
                <w:rFonts w:ascii="Times New Roman" w:hAnsi="Times New Roman" w:cs="Times New Roman"/>
              </w:rPr>
              <w:t>dministrations</w:t>
            </w:r>
            <w:proofErr w:type="spellEnd"/>
            <w:r w:rsidRPr="004004A7">
              <w:rPr>
                <w:rFonts w:ascii="Times New Roman" w:hAnsi="Times New Roman" w:cs="Times New Roman"/>
              </w:rPr>
              <w:t xml:space="preserve"> are encouraged to participate actively in the ITU-R </w:t>
            </w:r>
            <w:r w:rsidR="004004A7" w:rsidRPr="004004A7">
              <w:rPr>
                <w:rFonts w:ascii="Times New Roman" w:hAnsi="Times New Roman" w:cs="Times New Roman"/>
              </w:rPr>
              <w:t>sharing and compatibility studies</w:t>
            </w:r>
            <w:r w:rsidRPr="004004A7">
              <w:rPr>
                <w:rFonts w:ascii="Times New Roman" w:hAnsi="Times New Roman" w:cs="Times New Roman"/>
              </w:rPr>
              <w:t xml:space="preserve"> to satisfy the agenda item.</w:t>
            </w:r>
          </w:p>
          <w:p w:rsidR="008728A8" w:rsidRPr="004004A7" w:rsidRDefault="008728A8" w:rsidP="00D050ED">
            <w:pPr>
              <w:spacing w:after="0" w:line="240" w:lineRule="auto"/>
              <w:jc w:val="both"/>
              <w:rPr>
                <w:rFonts w:ascii="Times New Roman" w:eastAsia="Times New Roman" w:hAnsi="Times New Roman" w:cs="Times New Roman"/>
              </w:rPr>
            </w:pPr>
          </w:p>
        </w:tc>
      </w:tr>
    </w:tbl>
    <w:p w:rsidR="008728A8" w:rsidRPr="004004A7" w:rsidRDefault="008728A8" w:rsidP="008728A8">
      <w:pPr>
        <w:spacing w:after="200" w:line="276" w:lineRule="auto"/>
        <w:rPr>
          <w:rFonts w:ascii="Times New Roman" w:eastAsia="Times New Roman" w:hAnsi="Times New Roman" w:cs="Times New Roman"/>
        </w:rPr>
      </w:pPr>
    </w:p>
    <w:p w:rsidR="008728A8" w:rsidRPr="004004A7" w:rsidRDefault="008728A8" w:rsidP="008728A8">
      <w:pPr>
        <w:rPr>
          <w:rFonts w:ascii="Times New Roman" w:hAnsi="Times New Roman" w:cs="Times New Roman"/>
        </w:rPr>
      </w:pPr>
    </w:p>
    <w:p w:rsidR="0096729D" w:rsidRPr="004004A7" w:rsidRDefault="0096729D">
      <w:pPr>
        <w:rPr>
          <w:rFonts w:ascii="Times New Roman" w:hAnsi="Times New Roman" w:cs="Times New Roman"/>
        </w:rPr>
      </w:pPr>
    </w:p>
    <w:sectPr w:rsidR="0096729D" w:rsidRPr="004004A7" w:rsidSect="003B39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7F2" w:rsidRDefault="000817F2">
      <w:pPr>
        <w:spacing w:after="0" w:line="240" w:lineRule="auto"/>
      </w:pPr>
      <w:r>
        <w:separator/>
      </w:r>
    </w:p>
  </w:endnote>
  <w:endnote w:type="continuationSeparator" w:id="0">
    <w:p w:rsidR="000817F2" w:rsidRDefault="0008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ED" w:rsidRDefault="008728A8">
    <w:pPr>
      <w:pStyle w:val="Footer"/>
      <w:jc w:val="center"/>
    </w:pPr>
    <w:r>
      <w:t xml:space="preserve">Page </w:t>
    </w:r>
    <w:r>
      <w:rPr>
        <w:b/>
      </w:rPr>
      <w:fldChar w:fldCharType="begin"/>
    </w:r>
    <w:r>
      <w:rPr>
        <w:b/>
      </w:rPr>
      <w:instrText xml:space="preserve"> PAGE </w:instrText>
    </w:r>
    <w:r>
      <w:rPr>
        <w:b/>
      </w:rPr>
      <w:fldChar w:fldCharType="separate"/>
    </w:r>
    <w:r w:rsidR="00E37E4C">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E37E4C">
      <w:rPr>
        <w:b/>
        <w:noProof/>
      </w:rPr>
      <w:t>3</w:t>
    </w:r>
    <w:r>
      <w:rPr>
        <w:b/>
      </w:rPr>
      <w:fldChar w:fldCharType="end"/>
    </w:r>
  </w:p>
  <w:p w:rsidR="00D050ED" w:rsidRDefault="00081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7F2" w:rsidRDefault="000817F2">
      <w:pPr>
        <w:spacing w:after="0" w:line="240" w:lineRule="auto"/>
      </w:pPr>
      <w:r>
        <w:separator/>
      </w:r>
    </w:p>
  </w:footnote>
  <w:footnote w:type="continuationSeparator" w:id="0">
    <w:p w:rsidR="000817F2" w:rsidRDefault="00081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D67BA"/>
    <w:multiLevelType w:val="hybridMultilevel"/>
    <w:tmpl w:val="0DE451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AB05F4D"/>
    <w:multiLevelType w:val="hybridMultilevel"/>
    <w:tmpl w:val="D490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67DE5"/>
    <w:multiLevelType w:val="hybridMultilevel"/>
    <w:tmpl w:val="4072BE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1093CF7"/>
    <w:multiLevelType w:val="multilevel"/>
    <w:tmpl w:val="EE105FD2"/>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9A5DE5"/>
    <w:multiLevelType w:val="hybridMultilevel"/>
    <w:tmpl w:val="CF3E01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A8"/>
    <w:rsid w:val="000817F2"/>
    <w:rsid w:val="004004A7"/>
    <w:rsid w:val="00466F61"/>
    <w:rsid w:val="00624B9D"/>
    <w:rsid w:val="008728A8"/>
    <w:rsid w:val="008A406C"/>
    <w:rsid w:val="0096729D"/>
    <w:rsid w:val="00BC7F59"/>
    <w:rsid w:val="00E37E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8380"/>
  <w15:chartTrackingRefBased/>
  <w15:docId w15:val="{23F2167E-3DCD-41F4-A2DC-C509E955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8A8"/>
  </w:style>
  <w:style w:type="paragraph" w:styleId="Heading1">
    <w:name w:val="heading 1"/>
    <w:basedOn w:val="Normal"/>
    <w:next w:val="Normal"/>
    <w:link w:val="Heading1Char"/>
    <w:qFormat/>
    <w:rsid w:val="00E37E4C"/>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28A8"/>
    <w:pPr>
      <w:tabs>
        <w:tab w:val="center" w:pos="4513"/>
        <w:tab w:val="right" w:pos="9026"/>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8728A8"/>
    <w:rPr>
      <w:rFonts w:ascii="Calibri" w:eastAsia="Times New Roman" w:hAnsi="Calibri" w:cs="Times New Roman"/>
      <w:lang w:val="en-US"/>
    </w:rPr>
  </w:style>
  <w:style w:type="paragraph" w:styleId="ListParagraph">
    <w:name w:val="List Paragraph"/>
    <w:basedOn w:val="Normal"/>
    <w:uiPriority w:val="99"/>
    <w:qFormat/>
    <w:rsid w:val="008728A8"/>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rsid w:val="00E37E4C"/>
    <w:rPr>
      <w:rFonts w:ascii="Cambria" w:eastAsia="Times New Roman" w:hAnsi="Cambria" w:cs="Times New Roman"/>
      <w:b/>
      <w:bCs/>
      <w:color w:val="365F91"/>
      <w:sz w:val="28"/>
      <w:szCs w:val="28"/>
    </w:rPr>
  </w:style>
  <w:style w:type="paragraph" w:styleId="Header">
    <w:name w:val="header"/>
    <w:basedOn w:val="Normal"/>
    <w:link w:val="HeaderChar"/>
    <w:rsid w:val="00E37E4C"/>
    <w:pPr>
      <w:tabs>
        <w:tab w:val="center" w:pos="4153"/>
        <w:tab w:val="right" w:pos="8306"/>
      </w:tabs>
      <w:spacing w:after="0" w:line="240" w:lineRule="auto"/>
    </w:pPr>
    <w:rPr>
      <w:rFonts w:ascii="Times New Roman" w:eastAsia="MS Mincho" w:hAnsi="Times New Roman" w:cs="Times New Roman"/>
      <w:sz w:val="20"/>
      <w:szCs w:val="20"/>
      <w:lang w:eastAsia="en-GB"/>
    </w:rPr>
  </w:style>
  <w:style w:type="character" w:customStyle="1" w:styleId="HeaderChar">
    <w:name w:val="Header Char"/>
    <w:basedOn w:val="DefaultParagraphFont"/>
    <w:link w:val="Header"/>
    <w:rsid w:val="00E37E4C"/>
    <w:rPr>
      <w:rFonts w:ascii="Times New Roman" w:eastAsia="MS Mincho"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Gababo</dc:creator>
  <cp:keywords/>
  <dc:description/>
  <cp:lastModifiedBy>Windows User</cp:lastModifiedBy>
  <cp:revision>3</cp:revision>
  <dcterms:created xsi:type="dcterms:W3CDTF">2021-07-10T09:51:00Z</dcterms:created>
  <dcterms:modified xsi:type="dcterms:W3CDTF">2021-08-16T07:47:00Z</dcterms:modified>
</cp:coreProperties>
</file>